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20"/>
          <w:lang w:val="en-US" w:eastAsia="zh-CN"/>
        </w:rPr>
        <w:t>参展参会登记表</w:t>
      </w:r>
    </w:p>
    <w:tbl>
      <w:tblPr>
        <w:tblStyle w:val="3"/>
        <w:tblpPr w:leftFromText="180" w:rightFromText="180" w:vertAnchor="text" w:horzAnchor="page" w:tblpXSpec="center" w:tblpY="272"/>
        <w:tblOverlap w:val="never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3068"/>
        <w:gridCol w:w="1631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2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52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3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网址</w:t>
            </w:r>
          </w:p>
        </w:tc>
        <w:tc>
          <w:tcPr>
            <w:tcW w:w="28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参与类型</w:t>
            </w:r>
          </w:p>
        </w:tc>
        <w:tc>
          <w:tcPr>
            <w:tcW w:w="752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□标准展位 □光地展位 □参会 □参观□广告宣传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0"/>
                <w:lang w:val="en-US" w:eastAsia="zh-CN"/>
              </w:rPr>
              <w:t>1、参展形式分为标准展位、光地展位；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20"/>
                <w:lang w:val="en-US" w:eastAsia="zh-CN"/>
              </w:rPr>
              <w:t>2、每个标准展位9平方米，光地展位36 平方米起租。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2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20"/>
          <w:lang w:val="en-US" w:eastAsia="zh-CN"/>
        </w:rPr>
        <w:t>注:此表复制有效</w:t>
      </w:r>
    </w:p>
    <w:p>
      <w:pPr>
        <w:keepNext w:val="0"/>
        <w:keepLines w:val="0"/>
        <w:widowControl/>
        <w:suppressLineNumbers w:val="0"/>
        <w:spacing w:line="600" w:lineRule="auto"/>
        <w:jc w:val="righ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591474-23C6-4E59-BFA2-163C93B649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3680301-F708-45CD-89A1-069898CF78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10B9D0-2943-4345-A787-B3EE83EE8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NhMjcxNGM5ZmJhMjkyMzA2NTRmZTRlMmVjZmQifQ=="/>
  </w:docVars>
  <w:rsids>
    <w:rsidRoot w:val="4CA13CDA"/>
    <w:rsid w:val="4CA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2024-04-28T07:52:00Z</dcterms:created>
  <dc:creator>研究会</dc:creator>
  <cp:lastModifiedBy>研究会</cp:lastModifiedBy>
  <dcterms:modified xsi:type="dcterms:W3CDTF">2024-04-28T07:52:32Z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2A965D7D8FEF43D6AD20A64D0C6BA743_11</vt:lpwstr>
  </property>
</Properties>
</file>